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8CD860" w14:textId="70DC4C3F" w:rsidR="00DB1B65" w:rsidRDefault="00DB1B65" w:rsidP="005F196D">
      <w:pPr>
        <w:pStyle w:val="Heading1"/>
      </w:pPr>
      <w:bookmarkStart w:id="0" w:name="_GoBack"/>
      <w:r>
        <w:t>Assignment 4 - pipelines</w:t>
      </w:r>
    </w:p>
    <w:bookmarkEnd w:id="0"/>
    <w:p w14:paraId="1BEC252F" w14:textId="77777777" w:rsidR="00DB1B65" w:rsidRDefault="00DB1B65" w:rsidP="00277365"/>
    <w:p w14:paraId="10E75918" w14:textId="06D6C3E1" w:rsidR="00CE78B8" w:rsidRDefault="00CE78B8" w:rsidP="00277365">
      <w:r>
        <w:t>Introduction</w:t>
      </w:r>
    </w:p>
    <w:p w14:paraId="2FB4F418" w14:textId="28B85B0F" w:rsidR="00290168" w:rsidRDefault="00CE78B8" w:rsidP="00277365">
      <w:r>
        <w:t xml:space="preserve">We are going to EMULATE a processor where all </w:t>
      </w:r>
      <w:proofErr w:type="gramStart"/>
      <w:r>
        <w:t>4</w:t>
      </w:r>
      <w:proofErr w:type="gramEnd"/>
      <w:r>
        <w:t xml:space="preserve"> components (fetch, decode, execute and store) are running at the same time. This </w:t>
      </w:r>
      <w:proofErr w:type="gramStart"/>
      <w:r>
        <w:t>is called</w:t>
      </w:r>
      <w:proofErr w:type="gramEnd"/>
      <w:r>
        <w:t xml:space="preserve"> pipelining. In order to do so, we need to add some additional hardware.</w:t>
      </w:r>
    </w:p>
    <w:p w14:paraId="7143C811" w14:textId="6F902782" w:rsidR="00CE78B8" w:rsidRDefault="00CE78B8" w:rsidP="00277365">
      <w:r>
        <w:t xml:space="preserve">Each of the four components needs to interact with the previous component. For example – Decode needs to get its data from Fetch. In assignment 3, Decode could only run after Fetch, so we knew that there was something to Decode. In assignment 4, though, they are running at the same time. It is possible that Fetch </w:t>
      </w:r>
      <w:proofErr w:type="gramStart"/>
      <w:r>
        <w:t>isn’t</w:t>
      </w:r>
      <w:proofErr w:type="gramEnd"/>
      <w:r>
        <w:t xml:space="preserve"> done with its work and Decode is ready for more. </w:t>
      </w:r>
      <w:proofErr w:type="gramStart"/>
      <w:r>
        <w:t>So</w:t>
      </w:r>
      <w:proofErr w:type="gramEnd"/>
      <w:r>
        <w:t xml:space="preserve"> we need to put some signaling mechanism between the components so that we can ensure that they are only doing work when the previous phase is complete.</w:t>
      </w:r>
    </w:p>
    <w:p w14:paraId="637F3A3A" w14:textId="44427F8E" w:rsidR="00CE78B8" w:rsidRDefault="00CE78B8" w:rsidP="00277365">
      <w:r>
        <w:t xml:space="preserve">Additionally, you must remember that once a component signals that it is done and the next one can take over, the producing component (Fetch, from our example above) </w:t>
      </w:r>
      <w:proofErr w:type="gramStart"/>
      <w:r>
        <w:t>doesn’t</w:t>
      </w:r>
      <w:proofErr w:type="gramEnd"/>
      <w:r>
        <w:t xml:space="preserve"> overwrite the value between itself and the next component until that component is done.</w:t>
      </w:r>
    </w:p>
    <w:p w14:paraId="10C8F50B" w14:textId="35C788A2" w:rsidR="00F36C98" w:rsidRDefault="00F36C98" w:rsidP="00277365">
      <w:r>
        <w:t xml:space="preserve">To solve these problems we will use a technique that </w:t>
      </w:r>
      <w:proofErr w:type="gramStart"/>
      <w:r>
        <w:t>is used</w:t>
      </w:r>
      <w:proofErr w:type="gramEnd"/>
      <w:r>
        <w:t xml:space="preserve"> in graphics – double buffering.</w:t>
      </w:r>
      <w:r w:rsidR="00F526A0">
        <w:t xml:space="preserve"> We will have </w:t>
      </w:r>
      <w:proofErr w:type="gramStart"/>
      <w:r w:rsidR="00F526A0">
        <w:t>2</w:t>
      </w:r>
      <w:proofErr w:type="gramEnd"/>
      <w:r w:rsidR="00F526A0">
        <w:t xml:space="preserve"> data areas between our components – one Component can be writing to one while the other Component is reading from the other.</w:t>
      </w:r>
      <w:r>
        <w:t xml:space="preserve"> </w:t>
      </w:r>
      <w:hyperlink r:id="rId7" w:history="1">
        <w:r w:rsidRPr="00150101">
          <w:rPr>
            <w:rStyle w:val="Hyperlink"/>
          </w:rPr>
          <w:t>https://en.wikipedia.org/wiki/Multiple_buffering#Double_buffering_in_computer_graphics</w:t>
        </w:r>
      </w:hyperlink>
    </w:p>
    <w:p w14:paraId="29B0BB83" w14:textId="268A0536" w:rsidR="00F36C98" w:rsidRDefault="00F36C98" w:rsidP="00277365">
      <w:r>
        <w:t>Instead of having a single data item that we use to transfer data between two Components, we will have two data items. See diagram below:</w:t>
      </w:r>
    </w:p>
    <w:p w14:paraId="17F69D98" w14:textId="6E755035" w:rsidR="00F36C98" w:rsidRDefault="00F36C98" w:rsidP="00277365">
      <w:r>
        <w:rPr>
          <w:noProof/>
        </w:rPr>
        <w:drawing>
          <wp:anchor distT="0" distB="0" distL="114300" distR="114300" simplePos="0" relativeHeight="251658752" behindDoc="0" locked="0" layoutInCell="1" allowOverlap="1" wp14:anchorId="37F14012" wp14:editId="6AA993AD">
            <wp:simplePos x="0" y="0"/>
            <wp:positionH relativeFrom="column">
              <wp:posOffset>0</wp:posOffset>
            </wp:positionH>
            <wp:positionV relativeFrom="paragraph">
              <wp:posOffset>0</wp:posOffset>
            </wp:positionV>
            <wp:extent cx="4622132" cy="4228465"/>
            <wp:effectExtent l="0" t="0" r="0" b="635"/>
            <wp:wrapTopAndBottom/>
            <wp:docPr id="2" name="Picture 2" descr="C:\Users\mp336294\AppData\Local\Microsoft\Windows\INetCache\Content.Word\Blank Diagram [1]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336294\AppData\Local\Microsoft\Windows\INetCache\Content.Word\Blank Diagram [1] Page 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2812" t="38086" r="23072" b="9679"/>
                    <a:stretch/>
                  </pic:blipFill>
                  <pic:spPr bwMode="auto">
                    <a:xfrm>
                      <a:off x="0" y="0"/>
                      <a:ext cx="4622132" cy="4228465"/>
                    </a:xfrm>
                    <a:prstGeom prst="rect">
                      <a:avLst/>
                    </a:prstGeom>
                    <a:noFill/>
                    <a:ln>
                      <a:noFill/>
                    </a:ln>
                    <a:extLst>
                      <a:ext uri="{53640926-AAD7-44D8-BBD7-CCE9431645EC}">
                        <a14:shadowObscured xmlns:a14="http://schemas.microsoft.com/office/drawing/2010/main"/>
                      </a:ext>
                    </a:extLst>
                  </pic:spPr>
                </pic:pic>
              </a:graphicData>
            </a:graphic>
          </wp:anchor>
        </w:drawing>
      </w:r>
    </w:p>
    <w:p w14:paraId="7D177152" w14:textId="77777777" w:rsidR="00F36C98" w:rsidRDefault="00F36C98" w:rsidP="00277365"/>
    <w:p w14:paraId="39547E60" w14:textId="79810616" w:rsidR="00CE78B8" w:rsidRDefault="00CE78B8" w:rsidP="00277365"/>
    <w:p w14:paraId="617758AC" w14:textId="47E31D02" w:rsidR="00F36C98" w:rsidRDefault="00F36C98" w:rsidP="00277365">
      <w:r>
        <w:t xml:space="preserve">With two different </w:t>
      </w:r>
      <w:proofErr w:type="spellStart"/>
      <w:r>
        <w:t>currentInstruction</w:t>
      </w:r>
      <w:proofErr w:type="spellEnd"/>
      <w:r>
        <w:t xml:space="preserve"> registers, Fetch can write to currentInstruction1 while Decode reads from currentInstruction2 and vice versa. We use </w:t>
      </w:r>
      <w:proofErr w:type="gramStart"/>
      <w:r>
        <w:t>2</w:t>
      </w:r>
      <w:proofErr w:type="gramEnd"/>
      <w:r>
        <w:t xml:space="preserve"> </w:t>
      </w:r>
      <w:proofErr w:type="spellStart"/>
      <w:r>
        <w:t>boolean</w:t>
      </w:r>
      <w:proofErr w:type="spellEnd"/>
      <w:r>
        <w:t xml:space="preserve"> values on each </w:t>
      </w:r>
      <w:proofErr w:type="spellStart"/>
      <w:r>
        <w:t>currentInstruction</w:t>
      </w:r>
      <w:proofErr w:type="spellEnd"/>
      <w:r>
        <w:t xml:space="preserve"> to indicate who can access them. </w:t>
      </w:r>
    </w:p>
    <w:p w14:paraId="7FD79EFE" w14:textId="6C5A1ED0" w:rsidR="00F36C98" w:rsidRDefault="00F36C98" w:rsidP="00277365">
      <w:r>
        <w:t xml:space="preserve">This pattern </w:t>
      </w:r>
      <w:proofErr w:type="gramStart"/>
      <w:r>
        <w:t>should be used</w:t>
      </w:r>
      <w:proofErr w:type="gramEnd"/>
      <w:r>
        <w:t xml:space="preserve"> all the way through the system. For example – between Decode and Execute, in non-pipelined, you had OP1 and OP2. Now you need </w:t>
      </w:r>
      <w:proofErr w:type="gramStart"/>
      <w:r>
        <w:t>2</w:t>
      </w:r>
      <w:proofErr w:type="gramEnd"/>
      <w:r>
        <w:t xml:space="preserve"> OP1s and 2 OP2s. Since they always work in pairs, </w:t>
      </w:r>
      <w:r w:rsidR="004F033F">
        <w:t xml:space="preserve">you can reduce the Booleans by treating them as pairs:  {OP1, OP2} and {OP1, OP2}. </w:t>
      </w:r>
    </w:p>
    <w:p w14:paraId="7AA3128B" w14:textId="11B29888" w:rsidR="004F033F" w:rsidRDefault="004F033F" w:rsidP="00277365">
      <w:r>
        <w:t xml:space="preserve">You need to make the Components only do work when called if they have input (Fetch will always have input) and they have a place to put their work (an output); Store </w:t>
      </w:r>
      <w:proofErr w:type="gramStart"/>
      <w:r>
        <w:t>doesn’t</w:t>
      </w:r>
      <w:proofErr w:type="gramEnd"/>
      <w:r>
        <w:t xml:space="preserve"> require an output. </w:t>
      </w:r>
    </w:p>
    <w:p w14:paraId="0B924E63" w14:textId="13090FB5" w:rsidR="00F526A0" w:rsidRDefault="00F526A0" w:rsidP="00277365">
      <w:r>
        <w:t xml:space="preserve">Also note – previously, we used </w:t>
      </w:r>
      <w:proofErr w:type="spellStart"/>
      <w:r>
        <w:t>CurrentInstruction</w:t>
      </w:r>
      <w:proofErr w:type="spellEnd"/>
      <w:r>
        <w:t xml:space="preserve"> as a shared variable – Fetch set it and every other Component used it. Now, we could have </w:t>
      </w:r>
      <w:proofErr w:type="gramStart"/>
      <w:r>
        <w:t>4</w:t>
      </w:r>
      <w:proofErr w:type="gramEnd"/>
      <w:r>
        <w:t xml:space="preserve"> </w:t>
      </w:r>
      <w:proofErr w:type="spellStart"/>
      <w:r>
        <w:t>CurrentInstructions</w:t>
      </w:r>
      <w:proofErr w:type="spellEnd"/>
      <w:r>
        <w:t xml:space="preserve"> at a time. </w:t>
      </w:r>
      <w:proofErr w:type="gramStart"/>
      <w:r>
        <w:t>So</w:t>
      </w:r>
      <w:proofErr w:type="gramEnd"/>
      <w:r>
        <w:t xml:space="preserve"> we need to consider those to be input to every Component.</w:t>
      </w:r>
    </w:p>
    <w:p w14:paraId="03041A9C" w14:textId="46459119" w:rsidR="004F033F" w:rsidRDefault="004F033F" w:rsidP="00277365">
      <w:r>
        <w:t xml:space="preserve">Once this work is complete, you should now be able to run the main loop (Fetch, Decode, Execute, </w:t>
      </w:r>
      <w:proofErr w:type="gramStart"/>
      <w:r>
        <w:t>Store</w:t>
      </w:r>
      <w:proofErr w:type="gramEnd"/>
      <w:r>
        <w:t xml:space="preserve">) in different orders. In some orders of running, little or no work </w:t>
      </w:r>
      <w:proofErr w:type="gramStart"/>
      <w:r>
        <w:t>may happen at first (filling</w:t>
      </w:r>
      <w:proofErr w:type="gramEnd"/>
      <w:r>
        <w:t xml:space="preserve"> the pipeline).</w:t>
      </w:r>
    </w:p>
    <w:p w14:paraId="1E174B67" w14:textId="10AD8354" w:rsidR="004F033F" w:rsidRDefault="004F033F" w:rsidP="00277365">
      <w:r>
        <w:t>There are a few remaining things to consider. With the ability to have multiple instructions running at the same time, we introduce the ability to have errors based on hazards. For the sake of this assignment, we can ignore memory related hazards and only focus on the register related hazards.</w:t>
      </w:r>
    </w:p>
    <w:p w14:paraId="6B93F3F2" w14:textId="0D6E0370" w:rsidR="004F033F" w:rsidRDefault="004F033F" w:rsidP="00277365">
      <w:r>
        <w:t>Consider this program:</w:t>
      </w:r>
    </w:p>
    <w:p w14:paraId="508695A3" w14:textId="2EA94333" w:rsidR="004F033F" w:rsidRDefault="004F033F" w:rsidP="00277365">
      <w:r>
        <w:t>A: MOVE 10 R1</w:t>
      </w:r>
    </w:p>
    <w:p w14:paraId="30DDCE81" w14:textId="1B6617EF" w:rsidR="004F033F" w:rsidRDefault="004F033F" w:rsidP="00277365">
      <w:r>
        <w:t xml:space="preserve">B: ADD R1 </w:t>
      </w:r>
      <w:proofErr w:type="spellStart"/>
      <w:r>
        <w:t>R1</w:t>
      </w:r>
      <w:proofErr w:type="spellEnd"/>
      <w:r>
        <w:t xml:space="preserve"> R2</w:t>
      </w:r>
    </w:p>
    <w:p w14:paraId="2D3BF208" w14:textId="08741B2F" w:rsidR="004F033F" w:rsidRDefault="004F033F" w:rsidP="00277365">
      <w:r>
        <w:t xml:space="preserve">C: ADD R2 </w:t>
      </w:r>
      <w:proofErr w:type="spellStart"/>
      <w:r>
        <w:t>R2</w:t>
      </w:r>
      <w:proofErr w:type="spellEnd"/>
      <w:r>
        <w:t xml:space="preserve"> R3</w:t>
      </w:r>
    </w:p>
    <w:p w14:paraId="7A951F31" w14:textId="6B6D2C22" w:rsidR="004F033F" w:rsidRDefault="004F033F" w:rsidP="00277365">
      <w:r>
        <w:t xml:space="preserve">When instruction C is DECODED, instruction B may well be executing (or even waiting to execute). </w:t>
      </w:r>
    </w:p>
    <w:p w14:paraId="56431321" w14:textId="39F7536E" w:rsidR="004F033F" w:rsidRDefault="004F033F" w:rsidP="00277365">
      <w:r>
        <w:t xml:space="preserve">As a result, C will set OP1 and OP2 to </w:t>
      </w:r>
      <w:proofErr w:type="gramStart"/>
      <w:r>
        <w:t>0</w:t>
      </w:r>
      <w:proofErr w:type="gramEnd"/>
      <w:r>
        <w:t xml:space="preserve"> because R2 hasn’t been calculated or stored yet.</w:t>
      </w:r>
    </w:p>
    <w:p w14:paraId="28A07C74" w14:textId="76F1CE60" w:rsidR="004F033F" w:rsidRDefault="004F033F" w:rsidP="00277365">
      <w:r>
        <w:t>There are two ways to fix this:</w:t>
      </w:r>
    </w:p>
    <w:p w14:paraId="35873AF4" w14:textId="09777ED6" w:rsidR="004F033F" w:rsidRDefault="004F033F" w:rsidP="00277365">
      <w:r>
        <w:t xml:space="preserve">1) Stall – when decoding, if the output register from the PREVIOUS instruction is the INPUT instruction to the </w:t>
      </w:r>
      <w:r w:rsidR="00F526A0">
        <w:t xml:space="preserve">next instruction, wait until the instruction has finished executing AND storing. This has some trickiness to it – we have to look </w:t>
      </w:r>
      <w:proofErr w:type="gramStart"/>
      <w:r w:rsidR="00F526A0">
        <w:t>2</w:t>
      </w:r>
      <w:proofErr w:type="gramEnd"/>
      <w:r w:rsidR="00F526A0">
        <w:t xml:space="preserve"> stages (Decode -&gt; Store) into the “future” to see when the store has completed.</w:t>
      </w:r>
    </w:p>
    <w:p w14:paraId="48497E7B" w14:textId="030FD6DD" w:rsidR="00F526A0" w:rsidRDefault="00F526A0" w:rsidP="00277365">
      <w:r>
        <w:t xml:space="preserve">2) Register Forwarding – when executing, if the previous instruction OUTPUTTED a register that </w:t>
      </w:r>
      <w:proofErr w:type="gramStart"/>
      <w:r>
        <w:t>is used</w:t>
      </w:r>
      <w:proofErr w:type="gramEnd"/>
      <w:r>
        <w:t xml:space="preserve"> as INPUT to this instruction, replace OP1 or OP2 with the output value from the previous instruction. In the case of the little program above – when C starts to execute, it looks at the current instruction and notes that it is using R2. R2 was the output from the previous instruction (B), so it replaces OP1 and OP2 with the value from the last execute.</w:t>
      </w:r>
    </w:p>
    <w:p w14:paraId="013EE245" w14:textId="01AF11A5" w:rsidR="004F033F" w:rsidRDefault="00F526A0" w:rsidP="00277365">
      <w:r>
        <w:t>For this assignment, Register Forwarding makes the most sense, so please implement that.</w:t>
      </w:r>
    </w:p>
    <w:p w14:paraId="39A3EC23" w14:textId="42F72AB8" w:rsidR="004F033F" w:rsidRDefault="00F526A0" w:rsidP="00277365">
      <w:r>
        <w:t xml:space="preserve">The final thing to consider is branching. We </w:t>
      </w:r>
      <w:proofErr w:type="gramStart"/>
      <w:r>
        <w:t>don’t</w:t>
      </w:r>
      <w:proofErr w:type="gramEnd"/>
      <w:r>
        <w:t xml:space="preserve"> know if the branch will be taken or not until we get to Execute. </w:t>
      </w:r>
      <w:proofErr w:type="gramStart"/>
      <w:r>
        <w:t>So</w:t>
      </w:r>
      <w:proofErr w:type="gramEnd"/>
      <w:r>
        <w:t xml:space="preserve"> if the branch IS taken, we need to go back and invalidate everything in the pipeline.</w:t>
      </w:r>
    </w:p>
    <w:p w14:paraId="047AFCB0" w14:textId="77777777" w:rsidR="00F526A0" w:rsidRDefault="00F526A0" w:rsidP="00277365"/>
    <w:p w14:paraId="5A547E04" w14:textId="77777777" w:rsidR="00F526A0" w:rsidRDefault="00F526A0" w:rsidP="00277365"/>
    <w:p w14:paraId="372E36AC" w14:textId="77777777" w:rsidR="00F526A0" w:rsidRDefault="00F526A0" w:rsidP="00277365"/>
    <w:p w14:paraId="696F78EF" w14:textId="77777777" w:rsidR="00F526A0" w:rsidRDefault="00F526A0" w:rsidP="00277365"/>
    <w:p w14:paraId="3575B4C1" w14:textId="77777777" w:rsidR="00F526A0" w:rsidRDefault="00F526A0" w:rsidP="00277365"/>
    <w:p w14:paraId="2174671E" w14:textId="459BD4AB" w:rsidR="00F526A0" w:rsidRPr="00F526A0" w:rsidRDefault="00F526A0" w:rsidP="00277365">
      <w:pPr>
        <w:rPr>
          <w:b/>
        </w:rPr>
      </w:pPr>
      <w:r w:rsidRPr="00F526A0">
        <w:rPr>
          <w:b/>
        </w:rPr>
        <w:t>The assignment:</w:t>
      </w:r>
    </w:p>
    <w:p w14:paraId="063A6ED4" w14:textId="168C8D62" w:rsidR="00F526A0" w:rsidRDefault="00F526A0" w:rsidP="00277365">
      <w:r>
        <w:t xml:space="preserve">Modify your </w:t>
      </w:r>
      <w:proofErr w:type="spellStart"/>
      <w:r>
        <w:t>siavm</w:t>
      </w:r>
      <w:proofErr w:type="spellEnd"/>
      <w:r>
        <w:t xml:space="preserve"> to support pipelines. </w:t>
      </w:r>
    </w:p>
    <w:p w14:paraId="2918933D" w14:textId="1A8942A7" w:rsidR="00F526A0" w:rsidRDefault="00F526A0" w:rsidP="00277365">
      <w:r>
        <w:t>Make all of your Component’s dependencies (</w:t>
      </w:r>
      <w:proofErr w:type="spellStart"/>
      <w:r>
        <w:t>CurrentInstruction</w:t>
      </w:r>
      <w:proofErr w:type="spellEnd"/>
      <w:r>
        <w:t xml:space="preserve">, OP1, OP2, Result, </w:t>
      </w:r>
      <w:proofErr w:type="spellStart"/>
      <w:r>
        <w:t>etc</w:t>
      </w:r>
      <w:proofErr w:type="spellEnd"/>
      <w:r>
        <w:t xml:space="preserve">) double buffered and </w:t>
      </w:r>
      <w:r w:rsidR="005F196D">
        <w:t xml:space="preserve">locked with Booleans. </w:t>
      </w:r>
    </w:p>
    <w:p w14:paraId="1ECECD79" w14:textId="561C7CE6" w:rsidR="005F196D" w:rsidRDefault="005F196D" w:rsidP="00277365">
      <w:r>
        <w:t>Implement Register Forwarding.</w:t>
      </w:r>
    </w:p>
    <w:p w14:paraId="1DF079F2" w14:textId="6170EA8B" w:rsidR="005F196D" w:rsidRDefault="005F196D" w:rsidP="00277365">
      <w:r>
        <w:t>Implement Branch Stalling.</w:t>
      </w:r>
    </w:p>
    <w:p w14:paraId="7175F940" w14:textId="59D026FC" w:rsidR="00730649" w:rsidRDefault="00290168" w:rsidP="00277365">
      <w:r>
        <w:t>To test that the modifications work, you can change your main loop to run out of order.</w:t>
      </w:r>
    </w:p>
    <w:tbl>
      <w:tblPr>
        <w:tblStyle w:val="TableGrid"/>
        <w:tblW w:w="5000" w:type="pct"/>
        <w:tblInd w:w="0" w:type="dxa"/>
        <w:tblLook w:val="04A0" w:firstRow="1" w:lastRow="0" w:firstColumn="1" w:lastColumn="0" w:noHBand="0" w:noVBand="1"/>
      </w:tblPr>
      <w:tblGrid>
        <w:gridCol w:w="1925"/>
        <w:gridCol w:w="2210"/>
        <w:gridCol w:w="2160"/>
        <w:gridCol w:w="2251"/>
        <w:gridCol w:w="2244"/>
      </w:tblGrid>
      <w:tr w:rsidR="005F196D" w14:paraId="1383F39D" w14:textId="77777777" w:rsidTr="00D02294">
        <w:trPr>
          <w:tblHeader/>
        </w:trPr>
        <w:tc>
          <w:tcPr>
            <w:tcW w:w="892" w:type="pct"/>
            <w:vMerge w:val="restart"/>
            <w:tcBorders>
              <w:top w:val="single" w:sz="4" w:space="0" w:color="auto"/>
              <w:left w:val="single" w:sz="4" w:space="0" w:color="auto"/>
              <w:bottom w:val="single" w:sz="4" w:space="0" w:color="auto"/>
              <w:right w:val="single" w:sz="4" w:space="0" w:color="auto"/>
            </w:tcBorders>
            <w:vAlign w:val="center"/>
            <w:hideMark/>
          </w:tcPr>
          <w:p w14:paraId="2BED48C2" w14:textId="77777777" w:rsidR="005F196D" w:rsidRDefault="005F196D" w:rsidP="00D02294">
            <w:pPr>
              <w:pStyle w:val="NoSpacing"/>
              <w:jc w:val="center"/>
              <w:rPr>
                <w:b/>
                <w:bCs/>
                <w:sz w:val="20"/>
                <w:szCs w:val="20"/>
              </w:rPr>
            </w:pPr>
            <w:r>
              <w:rPr>
                <w:b/>
                <w:bCs/>
                <w:sz w:val="20"/>
                <w:szCs w:val="20"/>
              </w:rPr>
              <w:t>Criteria</w:t>
            </w:r>
          </w:p>
        </w:tc>
        <w:tc>
          <w:tcPr>
            <w:tcW w:w="4108" w:type="pct"/>
            <w:gridSpan w:val="4"/>
            <w:tcBorders>
              <w:top w:val="single" w:sz="4" w:space="0" w:color="auto"/>
              <w:left w:val="single" w:sz="4" w:space="0" w:color="auto"/>
              <w:bottom w:val="single" w:sz="4" w:space="0" w:color="auto"/>
              <w:right w:val="single" w:sz="4" w:space="0" w:color="auto"/>
            </w:tcBorders>
            <w:hideMark/>
          </w:tcPr>
          <w:p w14:paraId="490D04F4" w14:textId="77777777" w:rsidR="005F196D" w:rsidRDefault="005F196D" w:rsidP="00D02294">
            <w:pPr>
              <w:pStyle w:val="NoSpacing"/>
              <w:jc w:val="center"/>
              <w:rPr>
                <w:b/>
                <w:bCs/>
                <w:sz w:val="20"/>
                <w:szCs w:val="20"/>
              </w:rPr>
            </w:pPr>
            <w:r>
              <w:rPr>
                <w:b/>
                <w:bCs/>
                <w:sz w:val="20"/>
                <w:szCs w:val="20"/>
              </w:rPr>
              <w:t>Levels of Achievement</w:t>
            </w:r>
          </w:p>
        </w:tc>
      </w:tr>
      <w:tr w:rsidR="005F196D" w14:paraId="673A74E4" w14:textId="77777777" w:rsidTr="00D02294">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581E3" w14:textId="77777777" w:rsidR="005F196D" w:rsidRDefault="005F196D" w:rsidP="00D02294">
            <w:pPr>
              <w:rPr>
                <w:rFonts w:eastAsia="Times New Roman" w:cs="Times New Roman"/>
                <w:b/>
                <w:bCs/>
                <w:sz w:val="20"/>
                <w:szCs w:val="20"/>
              </w:rPr>
            </w:pPr>
          </w:p>
        </w:tc>
        <w:tc>
          <w:tcPr>
            <w:tcW w:w="1024" w:type="pct"/>
            <w:tcBorders>
              <w:top w:val="single" w:sz="4" w:space="0" w:color="auto"/>
              <w:left w:val="single" w:sz="4" w:space="0" w:color="auto"/>
              <w:bottom w:val="single" w:sz="4" w:space="0" w:color="auto"/>
              <w:right w:val="single" w:sz="4" w:space="0" w:color="auto"/>
            </w:tcBorders>
            <w:hideMark/>
          </w:tcPr>
          <w:p w14:paraId="61F4AF9D" w14:textId="77777777" w:rsidR="005F196D" w:rsidRDefault="005F196D" w:rsidP="00D02294">
            <w:pPr>
              <w:pStyle w:val="NoSpacing"/>
              <w:jc w:val="center"/>
              <w:rPr>
                <w:b/>
                <w:bCs/>
                <w:sz w:val="20"/>
                <w:szCs w:val="20"/>
              </w:rPr>
            </w:pPr>
            <w:r>
              <w:rPr>
                <w:b/>
                <w:bCs/>
                <w:sz w:val="20"/>
                <w:szCs w:val="20"/>
              </w:rPr>
              <w:t>UNSATISFACTORY</w:t>
            </w:r>
          </w:p>
        </w:tc>
        <w:tc>
          <w:tcPr>
            <w:tcW w:w="1001" w:type="pct"/>
            <w:tcBorders>
              <w:top w:val="single" w:sz="4" w:space="0" w:color="auto"/>
              <w:left w:val="single" w:sz="4" w:space="0" w:color="auto"/>
              <w:bottom w:val="single" w:sz="4" w:space="0" w:color="auto"/>
              <w:right w:val="single" w:sz="4" w:space="0" w:color="auto"/>
            </w:tcBorders>
            <w:hideMark/>
          </w:tcPr>
          <w:p w14:paraId="03020530" w14:textId="77777777" w:rsidR="005F196D" w:rsidRDefault="005F196D" w:rsidP="00D02294">
            <w:pPr>
              <w:pStyle w:val="NoSpacing"/>
              <w:jc w:val="center"/>
              <w:rPr>
                <w:b/>
                <w:bCs/>
                <w:sz w:val="20"/>
                <w:szCs w:val="20"/>
              </w:rPr>
            </w:pPr>
            <w:r>
              <w:rPr>
                <w:b/>
                <w:bCs/>
                <w:sz w:val="20"/>
                <w:szCs w:val="20"/>
              </w:rPr>
              <w:t>DEVELOPING</w:t>
            </w:r>
          </w:p>
        </w:tc>
        <w:tc>
          <w:tcPr>
            <w:tcW w:w="1043" w:type="pct"/>
            <w:tcBorders>
              <w:top w:val="single" w:sz="4" w:space="0" w:color="auto"/>
              <w:left w:val="single" w:sz="4" w:space="0" w:color="auto"/>
              <w:bottom w:val="single" w:sz="4" w:space="0" w:color="auto"/>
              <w:right w:val="single" w:sz="4" w:space="0" w:color="auto"/>
            </w:tcBorders>
            <w:hideMark/>
          </w:tcPr>
          <w:p w14:paraId="7F8DAC2B" w14:textId="77777777" w:rsidR="005F196D" w:rsidRDefault="005F196D" w:rsidP="00D02294">
            <w:pPr>
              <w:pStyle w:val="NoSpacing"/>
              <w:jc w:val="center"/>
              <w:rPr>
                <w:b/>
                <w:bCs/>
                <w:sz w:val="20"/>
                <w:szCs w:val="20"/>
              </w:rPr>
            </w:pPr>
            <w:r>
              <w:rPr>
                <w:b/>
                <w:bCs/>
                <w:sz w:val="20"/>
                <w:szCs w:val="20"/>
              </w:rPr>
              <w:t>SATISFACTORY</w:t>
            </w:r>
          </w:p>
        </w:tc>
        <w:tc>
          <w:tcPr>
            <w:tcW w:w="1040" w:type="pct"/>
            <w:tcBorders>
              <w:top w:val="single" w:sz="4" w:space="0" w:color="auto"/>
              <w:left w:val="single" w:sz="4" w:space="0" w:color="auto"/>
              <w:bottom w:val="single" w:sz="4" w:space="0" w:color="auto"/>
              <w:right w:val="single" w:sz="4" w:space="0" w:color="auto"/>
            </w:tcBorders>
            <w:hideMark/>
          </w:tcPr>
          <w:p w14:paraId="7912F47E" w14:textId="77777777" w:rsidR="005F196D" w:rsidRDefault="005F196D" w:rsidP="00D02294">
            <w:pPr>
              <w:pStyle w:val="NoSpacing"/>
              <w:jc w:val="center"/>
              <w:rPr>
                <w:b/>
                <w:bCs/>
                <w:sz w:val="20"/>
                <w:szCs w:val="20"/>
              </w:rPr>
            </w:pPr>
            <w:r>
              <w:rPr>
                <w:b/>
                <w:bCs/>
                <w:sz w:val="20"/>
                <w:szCs w:val="20"/>
              </w:rPr>
              <w:t>EXEMPLARY</w:t>
            </w:r>
          </w:p>
        </w:tc>
      </w:tr>
      <w:tr w:rsidR="005F196D" w14:paraId="5D75B9E4" w14:textId="77777777" w:rsidTr="00D02294">
        <w:trPr>
          <w:tblHeader/>
        </w:trPr>
        <w:tc>
          <w:tcPr>
            <w:tcW w:w="0" w:type="auto"/>
            <w:tcBorders>
              <w:top w:val="single" w:sz="4" w:space="0" w:color="auto"/>
              <w:left w:val="single" w:sz="4" w:space="0" w:color="auto"/>
              <w:bottom w:val="single" w:sz="4" w:space="0" w:color="auto"/>
              <w:right w:val="single" w:sz="4" w:space="0" w:color="auto"/>
            </w:tcBorders>
            <w:vAlign w:val="center"/>
          </w:tcPr>
          <w:p w14:paraId="4A325D59" w14:textId="733F7308" w:rsidR="005F196D" w:rsidRPr="005F196D" w:rsidRDefault="005F196D" w:rsidP="00D02294">
            <w:pPr>
              <w:rPr>
                <w:rFonts w:eastAsia="Times New Roman" w:cs="Times New Roman"/>
                <w:bCs/>
                <w:sz w:val="20"/>
                <w:szCs w:val="20"/>
              </w:rPr>
            </w:pPr>
            <w:r w:rsidRPr="005F196D">
              <w:rPr>
                <w:rFonts w:eastAsia="Times New Roman" w:cs="Times New Roman"/>
                <w:bCs/>
                <w:sz w:val="20"/>
                <w:szCs w:val="20"/>
              </w:rPr>
              <w:t>Dependencies Double Buffered</w:t>
            </w:r>
          </w:p>
        </w:tc>
        <w:tc>
          <w:tcPr>
            <w:tcW w:w="1024" w:type="pct"/>
            <w:tcBorders>
              <w:top w:val="single" w:sz="4" w:space="0" w:color="auto"/>
              <w:left w:val="single" w:sz="4" w:space="0" w:color="auto"/>
              <w:bottom w:val="single" w:sz="4" w:space="0" w:color="auto"/>
              <w:right w:val="single" w:sz="4" w:space="0" w:color="auto"/>
            </w:tcBorders>
          </w:tcPr>
          <w:p w14:paraId="09340EC1" w14:textId="2AF2F49F" w:rsidR="005F196D" w:rsidRPr="005F196D" w:rsidRDefault="005F196D" w:rsidP="00D02294">
            <w:pPr>
              <w:pStyle w:val="NoSpacing"/>
              <w:jc w:val="center"/>
              <w:rPr>
                <w:bCs/>
                <w:sz w:val="20"/>
                <w:szCs w:val="20"/>
              </w:rPr>
            </w:pPr>
            <w:r w:rsidRPr="005F196D">
              <w:rPr>
                <w:bCs/>
                <w:sz w:val="20"/>
                <w:szCs w:val="20"/>
              </w:rPr>
              <w:t>None are double buffered</w:t>
            </w:r>
            <w:r>
              <w:rPr>
                <w:bCs/>
                <w:sz w:val="20"/>
                <w:szCs w:val="20"/>
              </w:rPr>
              <w:t xml:space="preserve"> (0)</w:t>
            </w:r>
          </w:p>
        </w:tc>
        <w:tc>
          <w:tcPr>
            <w:tcW w:w="1001" w:type="pct"/>
            <w:tcBorders>
              <w:top w:val="single" w:sz="4" w:space="0" w:color="auto"/>
              <w:left w:val="single" w:sz="4" w:space="0" w:color="auto"/>
              <w:bottom w:val="single" w:sz="4" w:space="0" w:color="auto"/>
              <w:right w:val="single" w:sz="4" w:space="0" w:color="auto"/>
            </w:tcBorders>
          </w:tcPr>
          <w:p w14:paraId="2D26B969" w14:textId="09692650" w:rsidR="005F196D" w:rsidRPr="005F196D" w:rsidRDefault="005F196D" w:rsidP="00D02294">
            <w:pPr>
              <w:pStyle w:val="NoSpacing"/>
              <w:jc w:val="center"/>
              <w:rPr>
                <w:bCs/>
                <w:sz w:val="20"/>
                <w:szCs w:val="20"/>
              </w:rPr>
            </w:pPr>
            <w:r w:rsidRPr="005F196D">
              <w:rPr>
                <w:bCs/>
                <w:sz w:val="20"/>
                <w:szCs w:val="20"/>
              </w:rPr>
              <w:t>Some are double buffered and/or missing Boolean logic</w:t>
            </w:r>
            <w:r>
              <w:rPr>
                <w:bCs/>
                <w:sz w:val="20"/>
                <w:szCs w:val="20"/>
              </w:rPr>
              <w:t xml:space="preserve"> (10)</w:t>
            </w:r>
          </w:p>
        </w:tc>
        <w:tc>
          <w:tcPr>
            <w:tcW w:w="1043" w:type="pct"/>
            <w:tcBorders>
              <w:top w:val="single" w:sz="4" w:space="0" w:color="auto"/>
              <w:left w:val="single" w:sz="4" w:space="0" w:color="auto"/>
              <w:bottom w:val="single" w:sz="4" w:space="0" w:color="auto"/>
              <w:right w:val="single" w:sz="4" w:space="0" w:color="auto"/>
            </w:tcBorders>
          </w:tcPr>
          <w:p w14:paraId="41A3CCEF" w14:textId="105DE35B" w:rsidR="005F196D" w:rsidRPr="005F196D" w:rsidRDefault="005F196D" w:rsidP="00D02294">
            <w:pPr>
              <w:pStyle w:val="NoSpacing"/>
              <w:jc w:val="center"/>
              <w:rPr>
                <w:bCs/>
                <w:sz w:val="20"/>
                <w:szCs w:val="20"/>
              </w:rPr>
            </w:pPr>
            <w:r w:rsidRPr="005F196D">
              <w:rPr>
                <w:bCs/>
                <w:sz w:val="20"/>
                <w:szCs w:val="20"/>
              </w:rPr>
              <w:t>Most are double buffered appropriately</w:t>
            </w:r>
            <w:r>
              <w:rPr>
                <w:bCs/>
                <w:sz w:val="20"/>
                <w:szCs w:val="20"/>
              </w:rPr>
              <w:t xml:space="preserve"> (20)</w:t>
            </w:r>
          </w:p>
        </w:tc>
        <w:tc>
          <w:tcPr>
            <w:tcW w:w="1040" w:type="pct"/>
            <w:tcBorders>
              <w:top w:val="single" w:sz="4" w:space="0" w:color="auto"/>
              <w:left w:val="single" w:sz="4" w:space="0" w:color="auto"/>
              <w:bottom w:val="single" w:sz="4" w:space="0" w:color="auto"/>
              <w:right w:val="single" w:sz="4" w:space="0" w:color="auto"/>
            </w:tcBorders>
          </w:tcPr>
          <w:p w14:paraId="43F9B3DB" w14:textId="23E4B5FB" w:rsidR="005F196D" w:rsidRPr="005F196D" w:rsidRDefault="005F196D" w:rsidP="00D02294">
            <w:pPr>
              <w:pStyle w:val="NoSpacing"/>
              <w:jc w:val="center"/>
              <w:rPr>
                <w:bCs/>
                <w:sz w:val="20"/>
                <w:szCs w:val="20"/>
              </w:rPr>
            </w:pPr>
            <w:r w:rsidRPr="005F196D">
              <w:rPr>
                <w:bCs/>
                <w:sz w:val="20"/>
                <w:szCs w:val="20"/>
              </w:rPr>
              <w:t>All are double buffered appropriately</w:t>
            </w:r>
            <w:r>
              <w:rPr>
                <w:bCs/>
                <w:sz w:val="20"/>
                <w:szCs w:val="20"/>
              </w:rPr>
              <w:t xml:space="preserve"> (30)</w:t>
            </w:r>
          </w:p>
        </w:tc>
      </w:tr>
      <w:tr w:rsidR="005F196D" w14:paraId="4C0B6C7A" w14:textId="77777777" w:rsidTr="00D02294">
        <w:trPr>
          <w:tblHeader/>
        </w:trPr>
        <w:tc>
          <w:tcPr>
            <w:tcW w:w="0" w:type="auto"/>
            <w:tcBorders>
              <w:top w:val="single" w:sz="4" w:space="0" w:color="auto"/>
              <w:left w:val="single" w:sz="4" w:space="0" w:color="auto"/>
              <w:bottom w:val="single" w:sz="4" w:space="0" w:color="auto"/>
              <w:right w:val="single" w:sz="4" w:space="0" w:color="auto"/>
            </w:tcBorders>
            <w:vAlign w:val="center"/>
          </w:tcPr>
          <w:p w14:paraId="37F16E93" w14:textId="7709FDB1" w:rsidR="005F196D" w:rsidRPr="005F196D" w:rsidRDefault="005F196D" w:rsidP="00D02294">
            <w:pPr>
              <w:rPr>
                <w:rFonts w:eastAsia="Times New Roman" w:cs="Times New Roman"/>
                <w:bCs/>
                <w:sz w:val="20"/>
                <w:szCs w:val="20"/>
              </w:rPr>
            </w:pPr>
            <w:r w:rsidRPr="005F196D">
              <w:rPr>
                <w:rFonts w:eastAsia="Times New Roman" w:cs="Times New Roman"/>
                <w:bCs/>
                <w:sz w:val="20"/>
                <w:szCs w:val="20"/>
              </w:rPr>
              <w:t>Register Forwarding</w:t>
            </w:r>
          </w:p>
        </w:tc>
        <w:tc>
          <w:tcPr>
            <w:tcW w:w="1024" w:type="pct"/>
            <w:tcBorders>
              <w:top w:val="single" w:sz="4" w:space="0" w:color="auto"/>
              <w:left w:val="single" w:sz="4" w:space="0" w:color="auto"/>
              <w:bottom w:val="single" w:sz="4" w:space="0" w:color="auto"/>
              <w:right w:val="single" w:sz="4" w:space="0" w:color="auto"/>
            </w:tcBorders>
          </w:tcPr>
          <w:p w14:paraId="442BDE96" w14:textId="36A24DDE" w:rsidR="005F196D" w:rsidRPr="005F196D" w:rsidRDefault="005F196D" w:rsidP="00D02294">
            <w:pPr>
              <w:pStyle w:val="NoSpacing"/>
              <w:jc w:val="center"/>
              <w:rPr>
                <w:bCs/>
                <w:sz w:val="20"/>
                <w:szCs w:val="20"/>
              </w:rPr>
            </w:pPr>
            <w:r w:rsidRPr="005F196D">
              <w:rPr>
                <w:bCs/>
                <w:sz w:val="20"/>
                <w:szCs w:val="20"/>
              </w:rPr>
              <w:t>No register forwarding</w:t>
            </w:r>
            <w:r>
              <w:rPr>
                <w:bCs/>
                <w:sz w:val="20"/>
                <w:szCs w:val="20"/>
              </w:rPr>
              <w:t xml:space="preserve"> (0)</w:t>
            </w:r>
          </w:p>
        </w:tc>
        <w:tc>
          <w:tcPr>
            <w:tcW w:w="1001" w:type="pct"/>
            <w:tcBorders>
              <w:top w:val="single" w:sz="4" w:space="0" w:color="auto"/>
              <w:left w:val="single" w:sz="4" w:space="0" w:color="auto"/>
              <w:bottom w:val="single" w:sz="4" w:space="0" w:color="auto"/>
              <w:right w:val="single" w:sz="4" w:space="0" w:color="auto"/>
            </w:tcBorders>
          </w:tcPr>
          <w:p w14:paraId="6206EA85" w14:textId="04056D7B" w:rsidR="005F196D" w:rsidRPr="005F196D" w:rsidRDefault="005F196D" w:rsidP="00D02294">
            <w:pPr>
              <w:pStyle w:val="NoSpacing"/>
              <w:jc w:val="center"/>
              <w:rPr>
                <w:bCs/>
                <w:sz w:val="20"/>
                <w:szCs w:val="20"/>
              </w:rPr>
            </w:pPr>
            <w:r w:rsidRPr="005F196D">
              <w:rPr>
                <w:bCs/>
                <w:sz w:val="20"/>
                <w:szCs w:val="20"/>
              </w:rPr>
              <w:t>Register forwarding attempted</w:t>
            </w:r>
            <w:r>
              <w:rPr>
                <w:bCs/>
                <w:sz w:val="20"/>
                <w:szCs w:val="20"/>
              </w:rPr>
              <w:t xml:space="preserve"> (10)</w:t>
            </w:r>
          </w:p>
        </w:tc>
        <w:tc>
          <w:tcPr>
            <w:tcW w:w="1043" w:type="pct"/>
            <w:tcBorders>
              <w:top w:val="single" w:sz="4" w:space="0" w:color="auto"/>
              <w:left w:val="single" w:sz="4" w:space="0" w:color="auto"/>
              <w:bottom w:val="single" w:sz="4" w:space="0" w:color="auto"/>
              <w:right w:val="single" w:sz="4" w:space="0" w:color="auto"/>
            </w:tcBorders>
          </w:tcPr>
          <w:p w14:paraId="3E5FDBD7" w14:textId="0A45B7E4" w:rsidR="005F196D" w:rsidRPr="005F196D" w:rsidRDefault="005F196D" w:rsidP="00D02294">
            <w:pPr>
              <w:pStyle w:val="NoSpacing"/>
              <w:jc w:val="center"/>
              <w:rPr>
                <w:bCs/>
                <w:sz w:val="20"/>
                <w:szCs w:val="20"/>
              </w:rPr>
            </w:pPr>
          </w:p>
        </w:tc>
        <w:tc>
          <w:tcPr>
            <w:tcW w:w="1040" w:type="pct"/>
            <w:tcBorders>
              <w:top w:val="single" w:sz="4" w:space="0" w:color="auto"/>
              <w:left w:val="single" w:sz="4" w:space="0" w:color="auto"/>
              <w:bottom w:val="single" w:sz="4" w:space="0" w:color="auto"/>
              <w:right w:val="single" w:sz="4" w:space="0" w:color="auto"/>
            </w:tcBorders>
          </w:tcPr>
          <w:p w14:paraId="7E8193AE" w14:textId="266E85DA" w:rsidR="005F196D" w:rsidRPr="005F196D" w:rsidRDefault="005F196D" w:rsidP="00D02294">
            <w:pPr>
              <w:pStyle w:val="NoSpacing"/>
              <w:jc w:val="center"/>
              <w:rPr>
                <w:bCs/>
                <w:sz w:val="20"/>
                <w:szCs w:val="20"/>
              </w:rPr>
            </w:pPr>
            <w:r w:rsidRPr="005F196D">
              <w:rPr>
                <w:bCs/>
                <w:sz w:val="20"/>
                <w:szCs w:val="20"/>
              </w:rPr>
              <w:t>Register Forwarding</w:t>
            </w:r>
            <w:r w:rsidRPr="005F196D">
              <w:rPr>
                <w:bCs/>
                <w:sz w:val="20"/>
                <w:szCs w:val="20"/>
              </w:rPr>
              <w:t xml:space="preserve"> Correct</w:t>
            </w:r>
            <w:r>
              <w:rPr>
                <w:bCs/>
                <w:sz w:val="20"/>
                <w:szCs w:val="20"/>
              </w:rPr>
              <w:t xml:space="preserve"> (20)</w:t>
            </w:r>
          </w:p>
        </w:tc>
      </w:tr>
      <w:tr w:rsidR="005F196D" w14:paraId="2F410B07" w14:textId="77777777" w:rsidTr="00D02294">
        <w:trPr>
          <w:tblHeader/>
        </w:trPr>
        <w:tc>
          <w:tcPr>
            <w:tcW w:w="0" w:type="auto"/>
            <w:tcBorders>
              <w:top w:val="single" w:sz="4" w:space="0" w:color="auto"/>
              <w:left w:val="single" w:sz="4" w:space="0" w:color="auto"/>
              <w:bottom w:val="single" w:sz="4" w:space="0" w:color="auto"/>
              <w:right w:val="single" w:sz="4" w:space="0" w:color="auto"/>
            </w:tcBorders>
            <w:vAlign w:val="center"/>
          </w:tcPr>
          <w:p w14:paraId="6BE3E316" w14:textId="3BB71FB4" w:rsidR="005F196D" w:rsidRPr="005F196D" w:rsidRDefault="005F196D" w:rsidP="00D02294">
            <w:pPr>
              <w:rPr>
                <w:rFonts w:eastAsia="Times New Roman" w:cs="Times New Roman"/>
                <w:bCs/>
                <w:sz w:val="20"/>
                <w:szCs w:val="20"/>
              </w:rPr>
            </w:pPr>
            <w:r w:rsidRPr="005F196D">
              <w:rPr>
                <w:rFonts w:eastAsia="Times New Roman" w:cs="Times New Roman"/>
                <w:bCs/>
                <w:sz w:val="20"/>
                <w:szCs w:val="20"/>
              </w:rPr>
              <w:t xml:space="preserve">Branch Stalling </w:t>
            </w:r>
          </w:p>
        </w:tc>
        <w:tc>
          <w:tcPr>
            <w:tcW w:w="1024" w:type="pct"/>
            <w:tcBorders>
              <w:top w:val="single" w:sz="4" w:space="0" w:color="auto"/>
              <w:left w:val="single" w:sz="4" w:space="0" w:color="auto"/>
              <w:bottom w:val="single" w:sz="4" w:space="0" w:color="auto"/>
              <w:right w:val="single" w:sz="4" w:space="0" w:color="auto"/>
            </w:tcBorders>
          </w:tcPr>
          <w:p w14:paraId="208BA66D" w14:textId="284E06A2" w:rsidR="005F196D" w:rsidRPr="005F196D" w:rsidRDefault="005F196D" w:rsidP="00D02294">
            <w:pPr>
              <w:pStyle w:val="NoSpacing"/>
              <w:jc w:val="center"/>
              <w:rPr>
                <w:bCs/>
                <w:sz w:val="20"/>
                <w:szCs w:val="20"/>
              </w:rPr>
            </w:pPr>
            <w:r w:rsidRPr="005F196D">
              <w:rPr>
                <w:bCs/>
                <w:sz w:val="20"/>
                <w:szCs w:val="20"/>
              </w:rPr>
              <w:t>No branch stalling considered</w:t>
            </w:r>
            <w:r>
              <w:rPr>
                <w:bCs/>
                <w:sz w:val="20"/>
                <w:szCs w:val="20"/>
              </w:rPr>
              <w:t xml:space="preserve"> (0)</w:t>
            </w:r>
          </w:p>
        </w:tc>
        <w:tc>
          <w:tcPr>
            <w:tcW w:w="1001" w:type="pct"/>
            <w:tcBorders>
              <w:top w:val="single" w:sz="4" w:space="0" w:color="auto"/>
              <w:left w:val="single" w:sz="4" w:space="0" w:color="auto"/>
              <w:bottom w:val="single" w:sz="4" w:space="0" w:color="auto"/>
              <w:right w:val="single" w:sz="4" w:space="0" w:color="auto"/>
            </w:tcBorders>
          </w:tcPr>
          <w:p w14:paraId="287C5893" w14:textId="3BAB8D38" w:rsidR="005F196D" w:rsidRPr="005F196D" w:rsidRDefault="005F196D" w:rsidP="00D02294">
            <w:pPr>
              <w:pStyle w:val="NoSpacing"/>
              <w:jc w:val="center"/>
              <w:rPr>
                <w:bCs/>
                <w:sz w:val="20"/>
                <w:szCs w:val="20"/>
              </w:rPr>
            </w:pPr>
            <w:r w:rsidRPr="005F196D">
              <w:rPr>
                <w:bCs/>
                <w:sz w:val="20"/>
                <w:szCs w:val="20"/>
              </w:rPr>
              <w:t>Branch Stalling attempted</w:t>
            </w:r>
            <w:r>
              <w:rPr>
                <w:bCs/>
                <w:sz w:val="20"/>
                <w:szCs w:val="20"/>
              </w:rPr>
              <w:t xml:space="preserve"> (10)</w:t>
            </w:r>
          </w:p>
        </w:tc>
        <w:tc>
          <w:tcPr>
            <w:tcW w:w="1043" w:type="pct"/>
            <w:tcBorders>
              <w:top w:val="single" w:sz="4" w:space="0" w:color="auto"/>
              <w:left w:val="single" w:sz="4" w:space="0" w:color="auto"/>
              <w:bottom w:val="single" w:sz="4" w:space="0" w:color="auto"/>
              <w:right w:val="single" w:sz="4" w:space="0" w:color="auto"/>
            </w:tcBorders>
          </w:tcPr>
          <w:p w14:paraId="455EC2FD" w14:textId="77777777" w:rsidR="005F196D" w:rsidRPr="005F196D" w:rsidRDefault="005F196D" w:rsidP="00D02294">
            <w:pPr>
              <w:pStyle w:val="NoSpacing"/>
              <w:jc w:val="center"/>
              <w:rPr>
                <w:bCs/>
                <w:sz w:val="20"/>
                <w:szCs w:val="20"/>
              </w:rPr>
            </w:pPr>
          </w:p>
        </w:tc>
        <w:tc>
          <w:tcPr>
            <w:tcW w:w="1040" w:type="pct"/>
            <w:tcBorders>
              <w:top w:val="single" w:sz="4" w:space="0" w:color="auto"/>
              <w:left w:val="single" w:sz="4" w:space="0" w:color="auto"/>
              <w:bottom w:val="single" w:sz="4" w:space="0" w:color="auto"/>
              <w:right w:val="single" w:sz="4" w:space="0" w:color="auto"/>
            </w:tcBorders>
          </w:tcPr>
          <w:p w14:paraId="5F6B379A" w14:textId="69094C31" w:rsidR="005F196D" w:rsidRPr="005F196D" w:rsidRDefault="005F196D" w:rsidP="00D02294">
            <w:pPr>
              <w:pStyle w:val="NoSpacing"/>
              <w:jc w:val="center"/>
              <w:rPr>
                <w:bCs/>
                <w:sz w:val="20"/>
                <w:szCs w:val="20"/>
              </w:rPr>
            </w:pPr>
            <w:r w:rsidRPr="005F196D">
              <w:rPr>
                <w:bCs/>
                <w:sz w:val="20"/>
                <w:szCs w:val="20"/>
              </w:rPr>
              <w:t>Branch Stalling Correct</w:t>
            </w:r>
            <w:r>
              <w:rPr>
                <w:bCs/>
                <w:sz w:val="20"/>
                <w:szCs w:val="20"/>
              </w:rPr>
              <w:t xml:space="preserve"> (20)</w:t>
            </w:r>
          </w:p>
        </w:tc>
      </w:tr>
      <w:tr w:rsidR="005F196D" w14:paraId="1FA45ACD" w14:textId="77777777" w:rsidTr="0037224D">
        <w:trPr>
          <w:tblHeader/>
        </w:trPr>
        <w:tc>
          <w:tcPr>
            <w:tcW w:w="0" w:type="auto"/>
            <w:tcBorders>
              <w:top w:val="single" w:sz="4" w:space="0" w:color="auto"/>
              <w:left w:val="single" w:sz="4" w:space="0" w:color="auto"/>
              <w:bottom w:val="single" w:sz="4" w:space="0" w:color="auto"/>
              <w:right w:val="single" w:sz="4" w:space="0" w:color="auto"/>
            </w:tcBorders>
          </w:tcPr>
          <w:p w14:paraId="09554D6C" w14:textId="29CD9BBA" w:rsidR="005F196D" w:rsidRDefault="005F196D" w:rsidP="005F196D">
            <w:pPr>
              <w:rPr>
                <w:rFonts w:eastAsia="Times New Roman" w:cs="Times New Roman"/>
                <w:b/>
                <w:bCs/>
                <w:sz w:val="20"/>
                <w:szCs w:val="20"/>
              </w:rPr>
            </w:pPr>
            <w:r>
              <w:t>Comments</w:t>
            </w:r>
          </w:p>
        </w:tc>
        <w:tc>
          <w:tcPr>
            <w:tcW w:w="1024" w:type="pct"/>
            <w:tcBorders>
              <w:top w:val="single" w:sz="4" w:space="0" w:color="auto"/>
              <w:left w:val="single" w:sz="4" w:space="0" w:color="auto"/>
              <w:bottom w:val="single" w:sz="4" w:space="0" w:color="auto"/>
              <w:right w:val="single" w:sz="4" w:space="0" w:color="auto"/>
            </w:tcBorders>
          </w:tcPr>
          <w:p w14:paraId="2887E11B" w14:textId="4FDBF035" w:rsidR="005F196D" w:rsidRDefault="005F196D" w:rsidP="005F196D">
            <w:pPr>
              <w:pStyle w:val="NoSpacing"/>
              <w:jc w:val="center"/>
              <w:rPr>
                <w:b/>
                <w:bCs/>
                <w:sz w:val="20"/>
                <w:szCs w:val="20"/>
              </w:rPr>
            </w:pPr>
            <w:r w:rsidRPr="004E5DF0">
              <w:rPr>
                <w:sz w:val="18"/>
                <w:szCs w:val="18"/>
              </w:rPr>
              <w:t>None/Excessive (0)</w:t>
            </w:r>
          </w:p>
        </w:tc>
        <w:tc>
          <w:tcPr>
            <w:tcW w:w="1001" w:type="pct"/>
            <w:tcBorders>
              <w:top w:val="single" w:sz="4" w:space="0" w:color="auto"/>
              <w:left w:val="single" w:sz="4" w:space="0" w:color="auto"/>
              <w:bottom w:val="single" w:sz="4" w:space="0" w:color="auto"/>
              <w:right w:val="single" w:sz="4" w:space="0" w:color="auto"/>
            </w:tcBorders>
          </w:tcPr>
          <w:p w14:paraId="7FD39D79" w14:textId="439AFF97" w:rsidR="005F196D" w:rsidRDefault="005F196D" w:rsidP="005F196D">
            <w:pPr>
              <w:pStyle w:val="NoSpacing"/>
              <w:jc w:val="center"/>
              <w:rPr>
                <w:b/>
                <w:bCs/>
                <w:sz w:val="20"/>
                <w:szCs w:val="20"/>
              </w:rPr>
            </w:pPr>
            <w:r w:rsidRPr="004E5DF0">
              <w:rPr>
                <w:sz w:val="18"/>
                <w:szCs w:val="18"/>
              </w:rPr>
              <w:t>“What” not “Why”, few (5)</w:t>
            </w:r>
          </w:p>
        </w:tc>
        <w:tc>
          <w:tcPr>
            <w:tcW w:w="1043" w:type="pct"/>
            <w:tcBorders>
              <w:top w:val="single" w:sz="4" w:space="0" w:color="auto"/>
              <w:left w:val="single" w:sz="4" w:space="0" w:color="auto"/>
              <w:bottom w:val="single" w:sz="4" w:space="0" w:color="auto"/>
              <w:right w:val="single" w:sz="4" w:space="0" w:color="auto"/>
            </w:tcBorders>
          </w:tcPr>
          <w:p w14:paraId="744D34E6" w14:textId="2C4C11A2" w:rsidR="005F196D" w:rsidRDefault="005F196D" w:rsidP="005F196D">
            <w:pPr>
              <w:pStyle w:val="NoSpacing"/>
              <w:jc w:val="center"/>
              <w:rPr>
                <w:b/>
                <w:bCs/>
                <w:sz w:val="20"/>
                <w:szCs w:val="20"/>
              </w:rPr>
            </w:pPr>
            <w:r w:rsidRPr="004E5DF0">
              <w:rPr>
                <w:sz w:val="18"/>
                <w:szCs w:val="18"/>
              </w:rPr>
              <w:t>Some “what” comments or missing some (7)</w:t>
            </w:r>
          </w:p>
        </w:tc>
        <w:tc>
          <w:tcPr>
            <w:tcW w:w="1040" w:type="pct"/>
            <w:tcBorders>
              <w:top w:val="single" w:sz="4" w:space="0" w:color="auto"/>
              <w:left w:val="single" w:sz="4" w:space="0" w:color="auto"/>
              <w:bottom w:val="single" w:sz="4" w:space="0" w:color="auto"/>
              <w:right w:val="single" w:sz="4" w:space="0" w:color="auto"/>
            </w:tcBorders>
          </w:tcPr>
          <w:p w14:paraId="50F344D4" w14:textId="7D4D3C27" w:rsidR="005F196D" w:rsidRDefault="005F196D" w:rsidP="005F196D">
            <w:pPr>
              <w:pStyle w:val="NoSpacing"/>
              <w:jc w:val="center"/>
              <w:rPr>
                <w:b/>
                <w:bCs/>
                <w:sz w:val="20"/>
                <w:szCs w:val="20"/>
              </w:rPr>
            </w:pPr>
            <w:r w:rsidRPr="004E5DF0">
              <w:rPr>
                <w:sz w:val="18"/>
                <w:szCs w:val="18"/>
              </w:rPr>
              <w:t>Anything not obvious has reasoning (10)</w:t>
            </w:r>
          </w:p>
        </w:tc>
      </w:tr>
      <w:tr w:rsidR="005F196D" w14:paraId="03BCE0A2" w14:textId="77777777" w:rsidTr="0037224D">
        <w:trPr>
          <w:tblHeader/>
        </w:trPr>
        <w:tc>
          <w:tcPr>
            <w:tcW w:w="0" w:type="auto"/>
            <w:tcBorders>
              <w:top w:val="single" w:sz="4" w:space="0" w:color="auto"/>
              <w:left w:val="single" w:sz="4" w:space="0" w:color="auto"/>
              <w:bottom w:val="single" w:sz="4" w:space="0" w:color="auto"/>
              <w:right w:val="single" w:sz="4" w:space="0" w:color="auto"/>
            </w:tcBorders>
          </w:tcPr>
          <w:p w14:paraId="1F7FAA43" w14:textId="00024E6B" w:rsidR="005F196D" w:rsidRDefault="005F196D" w:rsidP="005F196D">
            <w:r>
              <w:t>Variable/Function naming</w:t>
            </w:r>
          </w:p>
        </w:tc>
        <w:tc>
          <w:tcPr>
            <w:tcW w:w="1024" w:type="pct"/>
            <w:tcBorders>
              <w:top w:val="single" w:sz="4" w:space="0" w:color="auto"/>
              <w:left w:val="single" w:sz="4" w:space="0" w:color="auto"/>
              <w:bottom w:val="single" w:sz="4" w:space="0" w:color="auto"/>
              <w:right w:val="single" w:sz="4" w:space="0" w:color="auto"/>
            </w:tcBorders>
          </w:tcPr>
          <w:p w14:paraId="7FB385CE" w14:textId="73870EBF" w:rsidR="005F196D" w:rsidRPr="004E5DF0" w:rsidRDefault="005F196D" w:rsidP="005F196D">
            <w:pPr>
              <w:pStyle w:val="NoSpacing"/>
              <w:jc w:val="center"/>
              <w:rPr>
                <w:sz w:val="18"/>
                <w:szCs w:val="18"/>
              </w:rPr>
            </w:pPr>
            <w:r w:rsidRPr="004E5DF0">
              <w:rPr>
                <w:sz w:val="18"/>
                <w:szCs w:val="18"/>
              </w:rPr>
              <w:t>Single letters everywhere (0)</w:t>
            </w:r>
          </w:p>
        </w:tc>
        <w:tc>
          <w:tcPr>
            <w:tcW w:w="1001" w:type="pct"/>
            <w:tcBorders>
              <w:top w:val="single" w:sz="4" w:space="0" w:color="auto"/>
              <w:left w:val="single" w:sz="4" w:space="0" w:color="auto"/>
              <w:bottom w:val="single" w:sz="4" w:space="0" w:color="auto"/>
              <w:right w:val="single" w:sz="4" w:space="0" w:color="auto"/>
            </w:tcBorders>
          </w:tcPr>
          <w:p w14:paraId="25213C41" w14:textId="1F4DB837" w:rsidR="005F196D" w:rsidRPr="004E5DF0" w:rsidRDefault="005F196D" w:rsidP="005F196D">
            <w:pPr>
              <w:pStyle w:val="NoSpacing"/>
              <w:jc w:val="center"/>
              <w:rPr>
                <w:sz w:val="18"/>
                <w:szCs w:val="18"/>
              </w:rPr>
            </w:pPr>
            <w:r w:rsidRPr="004E5DF0">
              <w:rPr>
                <w:sz w:val="18"/>
                <w:szCs w:val="18"/>
              </w:rPr>
              <w:t>Lots of abbreviations (5)</w:t>
            </w:r>
          </w:p>
        </w:tc>
        <w:tc>
          <w:tcPr>
            <w:tcW w:w="1043" w:type="pct"/>
            <w:tcBorders>
              <w:top w:val="single" w:sz="4" w:space="0" w:color="auto"/>
              <w:left w:val="single" w:sz="4" w:space="0" w:color="auto"/>
              <w:bottom w:val="single" w:sz="4" w:space="0" w:color="auto"/>
              <w:right w:val="single" w:sz="4" w:space="0" w:color="auto"/>
            </w:tcBorders>
          </w:tcPr>
          <w:p w14:paraId="07114C61" w14:textId="03A0DCF1" w:rsidR="005F196D" w:rsidRPr="004E5DF0" w:rsidRDefault="005F196D" w:rsidP="005F196D">
            <w:pPr>
              <w:pStyle w:val="NoSpacing"/>
              <w:jc w:val="center"/>
              <w:rPr>
                <w:sz w:val="18"/>
                <w:szCs w:val="18"/>
              </w:rPr>
            </w:pPr>
            <w:r w:rsidRPr="004E5DF0">
              <w:rPr>
                <w:sz w:val="18"/>
                <w:szCs w:val="18"/>
              </w:rPr>
              <w:t>Full words most of the time (8)</w:t>
            </w:r>
          </w:p>
        </w:tc>
        <w:tc>
          <w:tcPr>
            <w:tcW w:w="1040" w:type="pct"/>
            <w:tcBorders>
              <w:top w:val="single" w:sz="4" w:space="0" w:color="auto"/>
              <w:left w:val="single" w:sz="4" w:space="0" w:color="auto"/>
              <w:bottom w:val="single" w:sz="4" w:space="0" w:color="auto"/>
              <w:right w:val="single" w:sz="4" w:space="0" w:color="auto"/>
            </w:tcBorders>
          </w:tcPr>
          <w:p w14:paraId="3DABD2A5" w14:textId="4D48BD8D" w:rsidR="005F196D" w:rsidRPr="004E5DF0" w:rsidRDefault="005F196D" w:rsidP="005F196D">
            <w:pPr>
              <w:pStyle w:val="NoSpacing"/>
              <w:jc w:val="center"/>
              <w:rPr>
                <w:sz w:val="18"/>
                <w:szCs w:val="18"/>
              </w:rPr>
            </w:pPr>
            <w:r w:rsidRPr="004E5DF0">
              <w:rPr>
                <w:sz w:val="18"/>
                <w:szCs w:val="18"/>
              </w:rPr>
              <w:t>Full words, descriptive (10)</w:t>
            </w:r>
          </w:p>
        </w:tc>
      </w:tr>
      <w:tr w:rsidR="005F196D" w14:paraId="1088767E" w14:textId="77777777" w:rsidTr="0037224D">
        <w:trPr>
          <w:tblHeader/>
        </w:trPr>
        <w:tc>
          <w:tcPr>
            <w:tcW w:w="0" w:type="auto"/>
            <w:tcBorders>
              <w:top w:val="single" w:sz="4" w:space="0" w:color="auto"/>
              <w:left w:val="single" w:sz="4" w:space="0" w:color="auto"/>
              <w:bottom w:val="single" w:sz="4" w:space="0" w:color="auto"/>
              <w:right w:val="single" w:sz="4" w:space="0" w:color="auto"/>
            </w:tcBorders>
          </w:tcPr>
          <w:p w14:paraId="77B76F15" w14:textId="5E368156" w:rsidR="005F196D" w:rsidRDefault="005F196D" w:rsidP="005F196D">
            <w:r>
              <w:t xml:space="preserve">Structure </w:t>
            </w:r>
          </w:p>
        </w:tc>
        <w:tc>
          <w:tcPr>
            <w:tcW w:w="1024" w:type="pct"/>
            <w:tcBorders>
              <w:top w:val="single" w:sz="4" w:space="0" w:color="auto"/>
              <w:left w:val="single" w:sz="4" w:space="0" w:color="auto"/>
              <w:bottom w:val="single" w:sz="4" w:space="0" w:color="auto"/>
              <w:right w:val="single" w:sz="4" w:space="0" w:color="auto"/>
            </w:tcBorders>
          </w:tcPr>
          <w:p w14:paraId="532D7250" w14:textId="009E5951" w:rsidR="005F196D" w:rsidRPr="004E5DF0" w:rsidRDefault="005F196D" w:rsidP="005F196D">
            <w:pPr>
              <w:pStyle w:val="NoSpacing"/>
              <w:jc w:val="center"/>
              <w:rPr>
                <w:sz w:val="18"/>
                <w:szCs w:val="18"/>
              </w:rPr>
            </w:pPr>
            <w:r w:rsidRPr="004E5DF0">
              <w:rPr>
                <w:sz w:val="18"/>
                <w:szCs w:val="18"/>
              </w:rPr>
              <w:t>indentation doesn’t match braces {}, no helper functions (0)</w:t>
            </w:r>
          </w:p>
        </w:tc>
        <w:tc>
          <w:tcPr>
            <w:tcW w:w="1001" w:type="pct"/>
            <w:tcBorders>
              <w:top w:val="single" w:sz="4" w:space="0" w:color="auto"/>
              <w:left w:val="single" w:sz="4" w:space="0" w:color="auto"/>
              <w:bottom w:val="single" w:sz="4" w:space="0" w:color="auto"/>
              <w:right w:val="single" w:sz="4" w:space="0" w:color="auto"/>
            </w:tcBorders>
          </w:tcPr>
          <w:p w14:paraId="1187404E" w14:textId="1E40D91C" w:rsidR="005F196D" w:rsidRPr="004E5DF0" w:rsidRDefault="005F196D" w:rsidP="005F196D">
            <w:pPr>
              <w:pStyle w:val="NoSpacing"/>
              <w:jc w:val="center"/>
              <w:rPr>
                <w:sz w:val="18"/>
                <w:szCs w:val="18"/>
              </w:rPr>
            </w:pPr>
          </w:p>
        </w:tc>
        <w:tc>
          <w:tcPr>
            <w:tcW w:w="1043" w:type="pct"/>
            <w:tcBorders>
              <w:top w:val="single" w:sz="4" w:space="0" w:color="auto"/>
              <w:left w:val="single" w:sz="4" w:space="0" w:color="auto"/>
              <w:bottom w:val="single" w:sz="4" w:space="0" w:color="auto"/>
              <w:right w:val="single" w:sz="4" w:space="0" w:color="auto"/>
            </w:tcBorders>
          </w:tcPr>
          <w:p w14:paraId="681C3691" w14:textId="7DF45961" w:rsidR="005F196D" w:rsidRPr="004E5DF0" w:rsidRDefault="005F196D" w:rsidP="005F196D">
            <w:pPr>
              <w:rPr>
                <w:sz w:val="18"/>
                <w:szCs w:val="18"/>
              </w:rPr>
            </w:pPr>
            <w:r>
              <w:rPr>
                <w:sz w:val="18"/>
                <w:szCs w:val="18"/>
              </w:rPr>
              <w:t>Either:</w:t>
            </w:r>
          </w:p>
          <w:p w14:paraId="1D664493" w14:textId="77777777" w:rsidR="005F196D" w:rsidRPr="004E5DF0" w:rsidRDefault="005F196D" w:rsidP="005F196D">
            <w:pPr>
              <w:rPr>
                <w:sz w:val="18"/>
                <w:szCs w:val="18"/>
              </w:rPr>
            </w:pPr>
            <w:r w:rsidRPr="004E5DF0">
              <w:rPr>
                <w:sz w:val="18"/>
                <w:szCs w:val="18"/>
              </w:rPr>
              <w:t>Indentation wrong</w:t>
            </w:r>
          </w:p>
          <w:p w14:paraId="0CBAB0A1" w14:textId="77618474" w:rsidR="005F196D" w:rsidRPr="004E5DF0" w:rsidRDefault="005F196D" w:rsidP="005F196D">
            <w:pPr>
              <w:pStyle w:val="NoSpacing"/>
              <w:jc w:val="center"/>
              <w:rPr>
                <w:sz w:val="18"/>
                <w:szCs w:val="18"/>
              </w:rPr>
            </w:pPr>
            <w:r>
              <w:rPr>
                <w:sz w:val="18"/>
                <w:szCs w:val="18"/>
              </w:rPr>
              <w:t>Missing helper functions (7</w:t>
            </w:r>
            <w:r w:rsidRPr="004E5DF0">
              <w:rPr>
                <w:sz w:val="18"/>
                <w:szCs w:val="18"/>
              </w:rPr>
              <w:t>)</w:t>
            </w:r>
          </w:p>
        </w:tc>
        <w:tc>
          <w:tcPr>
            <w:tcW w:w="1040" w:type="pct"/>
            <w:tcBorders>
              <w:top w:val="single" w:sz="4" w:space="0" w:color="auto"/>
              <w:left w:val="single" w:sz="4" w:space="0" w:color="auto"/>
              <w:bottom w:val="single" w:sz="4" w:space="0" w:color="auto"/>
              <w:right w:val="single" w:sz="4" w:space="0" w:color="auto"/>
            </w:tcBorders>
          </w:tcPr>
          <w:p w14:paraId="7116BE1E" w14:textId="38D5B94D" w:rsidR="005F196D" w:rsidRPr="004E5DF0" w:rsidRDefault="005F196D" w:rsidP="005F196D">
            <w:pPr>
              <w:pStyle w:val="NoSpacing"/>
              <w:jc w:val="center"/>
              <w:rPr>
                <w:sz w:val="18"/>
                <w:szCs w:val="18"/>
              </w:rPr>
            </w:pPr>
            <w:r w:rsidRPr="004E5DF0">
              <w:rPr>
                <w:sz w:val="18"/>
                <w:szCs w:val="18"/>
              </w:rPr>
              <w:t>indenta</w:t>
            </w:r>
            <w:r>
              <w:rPr>
                <w:sz w:val="18"/>
                <w:szCs w:val="18"/>
              </w:rPr>
              <w:t>tion correct, helper functions(1</w:t>
            </w:r>
            <w:r w:rsidRPr="004E5DF0">
              <w:rPr>
                <w:sz w:val="18"/>
                <w:szCs w:val="18"/>
              </w:rPr>
              <w:t>0)</w:t>
            </w:r>
          </w:p>
        </w:tc>
      </w:tr>
    </w:tbl>
    <w:p w14:paraId="0E80DC41" w14:textId="4C67F1BF" w:rsidR="00277365" w:rsidRDefault="00277365" w:rsidP="00277365"/>
    <w:p w14:paraId="4AB21450" w14:textId="1E8530F9" w:rsidR="005F196D" w:rsidRPr="00277365" w:rsidRDefault="005F196D" w:rsidP="00277365">
      <w:r>
        <w:t xml:space="preserve">All of this assumes that your project 3 works. You will need to fix any errors or issues that you have in project </w:t>
      </w:r>
      <w:proofErr w:type="gramStart"/>
      <w:r>
        <w:t>3</w:t>
      </w:r>
      <w:proofErr w:type="gramEnd"/>
      <w:r>
        <w:t xml:space="preserve"> in order to be able to test project 4. Any missing functionality from project 3 can cause project 4 tests to fail.</w:t>
      </w:r>
    </w:p>
    <w:sectPr w:rsidR="005F196D" w:rsidRPr="00277365" w:rsidSect="00F36C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456"/>
    <w:rsid w:val="000A097C"/>
    <w:rsid w:val="001B6D2E"/>
    <w:rsid w:val="00277365"/>
    <w:rsid w:val="00290168"/>
    <w:rsid w:val="002C02A1"/>
    <w:rsid w:val="00432E94"/>
    <w:rsid w:val="0049723C"/>
    <w:rsid w:val="004A538E"/>
    <w:rsid w:val="004F033F"/>
    <w:rsid w:val="005722A1"/>
    <w:rsid w:val="005E5374"/>
    <w:rsid w:val="005F196D"/>
    <w:rsid w:val="00730649"/>
    <w:rsid w:val="008E6BC1"/>
    <w:rsid w:val="009567BF"/>
    <w:rsid w:val="00B547B2"/>
    <w:rsid w:val="00BA65BB"/>
    <w:rsid w:val="00C0600A"/>
    <w:rsid w:val="00C32456"/>
    <w:rsid w:val="00C55BB6"/>
    <w:rsid w:val="00CE78B8"/>
    <w:rsid w:val="00D43D2E"/>
    <w:rsid w:val="00D536E9"/>
    <w:rsid w:val="00DB1B65"/>
    <w:rsid w:val="00EE29B6"/>
    <w:rsid w:val="00EF5B97"/>
    <w:rsid w:val="00F25919"/>
    <w:rsid w:val="00F36C98"/>
    <w:rsid w:val="00F526A0"/>
    <w:rsid w:val="00F6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D49A"/>
  <w15:chartTrackingRefBased/>
  <w15:docId w15:val="{47D71045-D541-4542-A63D-0ACD89B6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365"/>
  </w:style>
  <w:style w:type="paragraph" w:styleId="Heading1">
    <w:name w:val="heading 1"/>
    <w:basedOn w:val="Normal"/>
    <w:next w:val="Normal"/>
    <w:link w:val="Heading1Char"/>
    <w:uiPriority w:val="9"/>
    <w:qFormat/>
    <w:rsid w:val="005F19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6C98"/>
    <w:rPr>
      <w:color w:val="0563C1" w:themeColor="hyperlink"/>
      <w:u w:val="single"/>
    </w:rPr>
  </w:style>
  <w:style w:type="paragraph" w:styleId="NoSpacing">
    <w:name w:val="No Spacing"/>
    <w:uiPriority w:val="1"/>
    <w:qFormat/>
    <w:rsid w:val="005F196D"/>
    <w:pPr>
      <w:tabs>
        <w:tab w:val="left" w:pos="720"/>
      </w:tabs>
      <w:suppressAutoHyphens/>
      <w:spacing w:after="0" w:line="240" w:lineRule="auto"/>
    </w:pPr>
    <w:rPr>
      <w:rFonts w:eastAsia="Times New Roman" w:cs="Times New Roman"/>
      <w:sz w:val="24"/>
      <w:szCs w:val="24"/>
    </w:rPr>
  </w:style>
  <w:style w:type="table" w:styleId="TableGrid">
    <w:name w:val="Table Grid"/>
    <w:basedOn w:val="TableNormal"/>
    <w:rsid w:val="005F196D"/>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F19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en.wikipedia.org/wiki/Multiple_buffering#Double_buffering_in_computer_graphic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172E5E22427947A8B2D0E1336C1288" ma:contentTypeVersion="12" ma:contentTypeDescription="Create a new document." ma:contentTypeScope="" ma:versionID="ba1e2d69cd11094fff87d5b06a6052d3">
  <xsd:schema xmlns:xsd="http://www.w3.org/2001/XMLSchema" xmlns:xs="http://www.w3.org/2001/XMLSchema" xmlns:p="http://schemas.microsoft.com/office/2006/metadata/properties" xmlns:ns3="e4034f50-8365-4395-a339-44f22ae6da0b" xmlns:ns4="7084c689-c309-4dd0-8373-3b309fcd1313" targetNamespace="http://schemas.microsoft.com/office/2006/metadata/properties" ma:root="true" ma:fieldsID="e539c62ca0a61bca3f69dcd01d86e476" ns3:_="" ns4:_="">
    <xsd:import namespace="e4034f50-8365-4395-a339-44f22ae6da0b"/>
    <xsd:import namespace="7084c689-c309-4dd0-8373-3b309fcd13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4f50-8365-4395-a339-44f22ae6d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84c689-c309-4dd0-8373-3b309fcd13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8649B6-18AD-419A-9206-9D620BB15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34f50-8365-4395-a339-44f22ae6da0b"/>
    <ds:schemaRef ds:uri="7084c689-c309-4dd0-8373-3b309fcd13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7AFA7-A7B5-4B0B-83B3-03E7426A2487}">
  <ds:schemaRefs>
    <ds:schemaRef ds:uri="http://schemas.microsoft.com/sharepoint/v3/contenttype/forms"/>
  </ds:schemaRefs>
</ds:datastoreItem>
</file>

<file path=customXml/itemProps3.xml><?xml version="1.0" encoding="utf-8"?>
<ds:datastoreItem xmlns:ds="http://schemas.openxmlformats.org/officeDocument/2006/customXml" ds:itemID="{642791B1-953C-4EB2-9F2F-C60D585D9C9A}">
  <ds:schemaRefs>
    <ds:schemaRef ds:uri="http://purl.org/dc/terms/"/>
    <ds:schemaRef ds:uri="e4034f50-8365-4395-a339-44f22ae6da0b"/>
    <ds:schemaRef ds:uri="7084c689-c309-4dd0-8373-3b309fcd1313"/>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Phipps</dc:creator>
  <cp:keywords/>
  <dc:description/>
  <cp:lastModifiedBy>Phipps, Michael</cp:lastModifiedBy>
  <cp:revision>2</cp:revision>
  <dcterms:created xsi:type="dcterms:W3CDTF">2020-04-17T20:25:00Z</dcterms:created>
  <dcterms:modified xsi:type="dcterms:W3CDTF">2020-04-17T20:25:00Z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0x010100EC172E5E22427947A8B2D0E1336C1288</vt:lpwstr>
  </property>
</Properties>
</file>